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C3" w:rsidRPr="008554C3" w:rsidRDefault="008554C3" w:rsidP="008554C3">
      <w:pPr>
        <w:spacing w:before="180" w:after="180" w:line="312" w:lineRule="auto"/>
        <w:jc w:val="center"/>
        <w:outlineLvl w:val="1"/>
        <w:rPr>
          <w:rFonts w:ascii="Verdana" w:eastAsia="Times New Roman" w:hAnsi="Verdana" w:cs="Times New Roman"/>
          <w:b/>
          <w:bCs/>
          <w:color w:val="222222"/>
          <w:kern w:val="36"/>
          <w:sz w:val="33"/>
          <w:szCs w:val="33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kern w:val="36"/>
          <w:sz w:val="33"/>
          <w:szCs w:val="33"/>
          <w:lang w:eastAsia="ru-RU"/>
        </w:rPr>
        <w:t>Федеральный закон от 02.05.2006 № 59-ФЗ «О порядке рассмотрения обращений граждан Российской Федерации»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1. Сфера применения настоящего Федерального закона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Взаимосвязанные положения части 1 статьи 1, части 1 статьи 2 и статьи 3 признаны не соответствующими Конституции РФ Постановлением Конституционного Суда РФ от 18.07.2012 N 19-П в той мере, в какой они - в силу неопределенности нормативного содержания, порождающей на практике неоднозначное их истолкование и, соответственно, возможность произвольного применения, - препятствуют распространению положений данного Федерального закона на отношения, связанные с рассмотрением органами государственной власти и органами местного самоуправления обращений объединений граждан, включая юридические лица, а также рассмотрению обращений осуществляющими публично значимые функции государственными и муниципальными учреждениями и иными организациями, в том числе введению законом субъекта Российской Федерации положений о возможности рассмотрения обращений такими учреждениями и организациями.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Взаимосвязанные положения части 1 статьи 1 и статьи 3 признаны не противоречащими Конституции РФ, поскольку - по своему конституционно-правовому смыслу в системе действующего правового регулирования - сами по себе они не препятствуют введению законами субъекта Российской Федерации в целях защиты конституционного права граждан на обращение положений, которые дополняют федеральные гарантии данного права и не предполагают возложение новых обязанностей (ограничений прав) на физических и юридических лиц.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</w:t>
      </w: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2. Право граждан на обращение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Взаимосвязанные положения части 1 статьи 1, части 1 статьи 2 и статьи 3 признаны не соответствующими Конституции РФ Постановлением Конституционного Суда РФ от 18.07.2012 N 19-П в той мере, в какой они - в силу неопределенности нормативного содержания, порождающей на практике неоднозначное их истолкование и, соответственно, возможность произвольного применения, - препятствуют распространению положений данного Федерального закона на отношения, связанные с рассмотрением органами государственной власти и органами местного самоуправления обращений объединений граждан, включая юридические лица, а также рассмотрению обращений осуществляющими публично значимые функции государственными и муниципальными учреждениями и иными организациями, в том числе введению законом субъекта Российской Федерации положений о возможности рассмотрения обращений такими учреждениями и организациями.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3. Рассмотрение обращений граждан осуществляется бесплатно.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Взаимосвязанные положения части 1 статьи 1, части 1 статьи 2 и статьи 3 признаны не соответствующими Конституции РФ Постановлением Конституционного Суда РФ от 18.07.2012 N 19-П в той мере, в какой они - в силу неопределенности нормативного содержания, порождающей на практике неоднозначное их истолкование и, соответственно, возможность произвольного применения, - препятствуют распространению положений данного Федерального закона на отношения, связанные с рассмотрением органами государственной власти и органами местного самоуправления обращений объединений граждан, включая юридические лица, а также рассмотрению обращений осуществляющими публично значимые функции государственными и муниципальными учреждениями и иными организациями, в том числе введению законом субъекта Российской Федерации положений о возможности рассмотрения обращений такими учреждениями и организациями.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Взаимосвязанные положения части 1 статьи 1 и статьи 3 признаны не противоречащими Конституции РФ, поскольку - по своему конституционно-правовому смыслу в системе действующего правового регулирования - сами по себе они не препятствуют введению законами субъекта Российской Федерации в целях защиты конституционного права граждан на обращение положений, которые дополняют </w:t>
      </w: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федеральные гарантии данного права и не предполагают возложение новых обязанностей (ограничений прав) на физических и юридических лиц.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3. Правовое регулирование правоотношений, связанных с рассмотрением обращений граждан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4. Основные термины, используемые в настоящем Федеральном законе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Для целей настоящего Федерального закона используются следующие основные термины: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(в ред. Федерального закона от 27.07.2010 N 227-ФЗ)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5. Права гражданина при рассмотрении обращения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(в ред. Федерального закона от 27.07.2010 N 227-ФЗ)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3) получать письменный ответ по существу поставленных в обращении вопросов, за исключением случаев, указанных в статье 11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5) обращаться с заявлением о прекращении рассмотрения обращения.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6. Гарантии безопасности гражданина в связи с его обращением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7. Требования к письменному обращению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(часть 3 в ред. Федерального закона от 27.07.2010 N 227-ФЗ)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8. Направление и регистрация письменного обращения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настоящего Федерального закона.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</w:t>
      </w: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7. В случае,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9. Обязательность принятия обращения к рассмотрению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10. Рассмотрение обращения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Государственный орган, орган местного самоуправления или должностное лицо: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(в ред. Федерального закона от 27.07.2010 N 227-ФЗ)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4) дает письменный ответ по существу поставленных в обращении вопросов, за исключением случаев, указанных в статье 11 настоящего Федерального закона;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(часть 4 в ред. Федерального закона от 27.07.2010 N 227-ФЗ)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11. Порядок рассмотрения отдельных обращений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(в ред. Федерального закона от 29.06.2010 N 126-ФЗ)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</w:t>
      </w: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(в ред. Федерального закона от 29.06.2010 N 126-ФЗ)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5.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12. Сроки рассмотрения письменного обращения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2. В исключительных случаях, а также в случае направления запроса, предусмотренного частью 2 статьи 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</w:t>
      </w: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чем на 30 дней, уведомив о продлении срока его рассмотрения гражданина, направившего обращение.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13. Личный прием граждан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При личном приеме гражданин предъявляет документ, удостоверяющий его личность.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14. Контроль за соблюдением порядка рассмотрения обращений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Статья 15. Ответственность за нарушение настоящего Федерального закона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lastRenderedPageBreak/>
        <w:t>Статья 16. Возмещение причиненных убытков и взыскание понесенных расходов при рассмотрении обращений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Признать не действующими на территории Российской Федерации: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8554C3" w:rsidRPr="008554C3" w:rsidRDefault="008554C3" w:rsidP="008554C3">
      <w:pPr>
        <w:spacing w:before="180" w:after="60" w:line="348" w:lineRule="auto"/>
        <w:outlineLvl w:val="2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</w:pPr>
      <w:r w:rsidRPr="008554C3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ru-RU"/>
        </w:rPr>
        <w:t>Статья 18. Вступление в силу настоящего Федерального закона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Президент Российской Федерации В.ПУТИН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Москва, Кремль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 мая 2006 года</w:t>
      </w:r>
    </w:p>
    <w:p w:rsidR="008554C3" w:rsidRPr="008554C3" w:rsidRDefault="008554C3" w:rsidP="008554C3">
      <w:pPr>
        <w:spacing w:after="180" w:line="348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54C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N 59-ФЗ</w:t>
      </w:r>
    </w:p>
    <w:p w:rsidR="00DF6431" w:rsidRDefault="00DF6431">
      <w:bookmarkStart w:id="0" w:name="_GoBack"/>
      <w:bookmarkEnd w:id="0"/>
    </w:p>
    <w:sectPr w:rsidR="00DF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30"/>
    <w:rsid w:val="008554C3"/>
    <w:rsid w:val="00DF6431"/>
    <w:rsid w:val="00F7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2116">
                  <w:marLeft w:val="225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3662</Words>
  <Characters>20877</Characters>
  <Application>Microsoft Office Word</Application>
  <DocSecurity>0</DocSecurity>
  <Lines>173</Lines>
  <Paragraphs>48</Paragraphs>
  <ScaleCrop>false</ScaleCrop>
  <Company/>
  <LinksUpToDate>false</LinksUpToDate>
  <CharactersWithSpaces>24491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2014-05-19T11:48:00Z</dcterms:created>
  <dcterms:modified xsi:type="dcterms:W3CDTF">2014-05-19T11:48:00Z</dcterms:modified>
</cp:coreProperties>
</file>